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1503" w14:textId="4CC2537E" w:rsidR="00D0289C" w:rsidRDefault="00742543" w:rsidP="00742543">
      <w:pPr>
        <w:pStyle w:val="Title"/>
        <w:jc w:val="center"/>
      </w:pPr>
      <w:r w:rsidRPr="00742543">
        <w:t xml:space="preserve">MACS </w:t>
      </w:r>
      <w:r w:rsidR="00E86E1A">
        <w:t>Material</w:t>
      </w:r>
    </w:p>
    <w:p w14:paraId="72B57FCA" w14:textId="679BBD3F" w:rsidR="007919FC" w:rsidRDefault="00E86E1A" w:rsidP="008B03C1">
      <w:pPr>
        <w:rPr>
          <w:rFonts w:asciiTheme="majorHAnsi" w:eastAsiaTheme="majorEastAsia" w:hAnsiTheme="majorHAnsi" w:cstheme="majorBidi"/>
          <w:sz w:val="40"/>
          <w:szCs w:val="40"/>
        </w:rPr>
      </w:pPr>
      <w:r>
        <w:rPr>
          <w:rFonts w:asciiTheme="majorHAnsi" w:eastAsiaTheme="majorEastAsia" w:hAnsiTheme="majorHAnsi" w:cstheme="majorBidi"/>
          <w:sz w:val="40"/>
          <w:szCs w:val="40"/>
        </w:rPr>
        <w:t>Buprenorphine Quick Start Guide</w:t>
      </w:r>
    </w:p>
    <w:p w14:paraId="1AEAF744" w14:textId="4C1C1649" w:rsidR="00E86E1A" w:rsidRPr="00E86E1A" w:rsidRDefault="00E86E1A" w:rsidP="00E86E1A">
      <w:pPr>
        <w:pStyle w:val="Heading2"/>
        <w:rPr>
          <w:color w:val="auto"/>
        </w:rPr>
      </w:pPr>
      <w:r>
        <w:rPr>
          <w:color w:val="auto"/>
        </w:rPr>
        <w:t>Before the First Visit</w:t>
      </w:r>
    </w:p>
    <w:p w14:paraId="24D1557C" w14:textId="77777777" w:rsidR="00E86E1A" w:rsidRDefault="00E86E1A" w:rsidP="007919FC">
      <w:pPr>
        <w:pStyle w:val="ListParagraph"/>
        <w:numPr>
          <w:ilvl w:val="0"/>
          <w:numId w:val="23"/>
        </w:numPr>
        <w:spacing w:line="276" w:lineRule="auto"/>
      </w:pPr>
      <w:r w:rsidRPr="00E86E1A">
        <w:t>Provide patient with information on your initiation procedure (i.e. arriving in withdrawal if in-office initiation, etc.)</w:t>
      </w:r>
    </w:p>
    <w:p w14:paraId="65310A22" w14:textId="0DC93763" w:rsidR="00E86E1A" w:rsidRDefault="00E86E1A" w:rsidP="007919FC">
      <w:pPr>
        <w:pStyle w:val="ListParagraph"/>
        <w:numPr>
          <w:ilvl w:val="0"/>
          <w:numId w:val="23"/>
        </w:numPr>
        <w:spacing w:line="276" w:lineRule="auto"/>
      </w:pPr>
      <w:r w:rsidRPr="00E86E1A">
        <w:t>Get pharmacy insurance information as this may impact initiation</w:t>
      </w:r>
      <w:r>
        <w:t>.</w:t>
      </w:r>
    </w:p>
    <w:p w14:paraId="764A9ADB" w14:textId="2E60E60E" w:rsidR="00E86E1A" w:rsidRDefault="00E86E1A" w:rsidP="00E86E1A">
      <w:pPr>
        <w:pStyle w:val="Heading2"/>
        <w:rPr>
          <w:color w:val="auto"/>
        </w:rPr>
      </w:pPr>
      <w:r w:rsidRPr="00E86E1A">
        <w:rPr>
          <w:color w:val="auto"/>
        </w:rPr>
        <w:t>First Visit</w:t>
      </w:r>
    </w:p>
    <w:p w14:paraId="65075FF2" w14:textId="77777777" w:rsidR="00E86E1A" w:rsidRDefault="00E86E1A" w:rsidP="00E86E1A">
      <w:pPr>
        <w:pStyle w:val="ListParagraph"/>
        <w:numPr>
          <w:ilvl w:val="0"/>
          <w:numId w:val="24"/>
        </w:numPr>
      </w:pPr>
      <w:r w:rsidRPr="00E86E1A">
        <w:t>Make the diagnosis of an OUD (use the DSM-5 OUD diagnostic criteria)</w:t>
      </w:r>
    </w:p>
    <w:p w14:paraId="4F30E684" w14:textId="77777777" w:rsidR="00E86E1A" w:rsidRDefault="00E86E1A" w:rsidP="00E86E1A">
      <w:pPr>
        <w:pStyle w:val="ListParagraph"/>
        <w:numPr>
          <w:ilvl w:val="0"/>
          <w:numId w:val="24"/>
        </w:numPr>
      </w:pPr>
      <w:r w:rsidRPr="00E86E1A">
        <w:t>Obtain substance use and treatment history in addition to routine medical, psychiatric, and social histories</w:t>
      </w:r>
    </w:p>
    <w:p w14:paraId="4F432493" w14:textId="77777777" w:rsidR="00E86E1A" w:rsidRDefault="00E86E1A" w:rsidP="00E86E1A">
      <w:pPr>
        <w:pStyle w:val="ListParagraph"/>
        <w:numPr>
          <w:ilvl w:val="0"/>
          <w:numId w:val="24"/>
        </w:numPr>
      </w:pPr>
      <w:r w:rsidRPr="00E86E1A">
        <w:t>Assess social determinants of health, paying attention to those that may impact medication and visit adherence</w:t>
      </w:r>
    </w:p>
    <w:p w14:paraId="20BCEF74" w14:textId="77777777" w:rsidR="00E86E1A" w:rsidRDefault="00E86E1A" w:rsidP="00E86E1A">
      <w:pPr>
        <w:pStyle w:val="ListParagraph"/>
        <w:numPr>
          <w:ilvl w:val="0"/>
          <w:numId w:val="24"/>
        </w:numPr>
      </w:pPr>
      <w:r w:rsidRPr="00E86E1A">
        <w:t xml:space="preserve">Perform a targeted exam (can be completed either at the first visit or a subsequent </w:t>
      </w:r>
      <w:proofErr w:type="gramStart"/>
      <w:r w:rsidRPr="00E86E1A">
        <w:t>visit to</w:t>
      </w:r>
      <w:proofErr w:type="gramEnd"/>
      <w:r w:rsidRPr="00E86E1A">
        <w:t xml:space="preserve"> depending on the patient’s severity of withdrawal or how the visit is </w:t>
      </w:r>
      <w:proofErr w:type="gramStart"/>
      <w:r w:rsidRPr="00E86E1A">
        <w:t>being conducted</w:t>
      </w:r>
      <w:proofErr w:type="gramEnd"/>
      <w:r w:rsidRPr="00E86E1A">
        <w:t>)</w:t>
      </w:r>
    </w:p>
    <w:p w14:paraId="08F72542" w14:textId="77777777" w:rsidR="00E86E1A" w:rsidRDefault="00E86E1A" w:rsidP="00E86E1A">
      <w:pPr>
        <w:pStyle w:val="ListParagraph"/>
        <w:numPr>
          <w:ilvl w:val="0"/>
          <w:numId w:val="24"/>
        </w:numPr>
      </w:pPr>
      <w:r w:rsidRPr="00E86E1A">
        <w:t>Check the PDMP</w:t>
      </w:r>
    </w:p>
    <w:p w14:paraId="721488A7" w14:textId="77777777" w:rsidR="002121E5" w:rsidRDefault="00E86E1A" w:rsidP="00E86E1A">
      <w:pPr>
        <w:pStyle w:val="ListParagraph"/>
        <w:numPr>
          <w:ilvl w:val="0"/>
          <w:numId w:val="24"/>
        </w:numPr>
      </w:pPr>
      <w:r w:rsidRPr="00E86E1A">
        <w:t xml:space="preserve">Perform a Point of Care urine drug test if </w:t>
      </w:r>
      <w:proofErr w:type="gramStart"/>
      <w:r w:rsidRPr="00E86E1A">
        <w:t>possible</w:t>
      </w:r>
      <w:proofErr w:type="gramEnd"/>
      <w:r w:rsidRPr="00E86E1A">
        <w:t xml:space="preserve"> for fentanyl, methadone, opiates, and/or oxycodone</w:t>
      </w:r>
    </w:p>
    <w:p w14:paraId="02E13874" w14:textId="77777777" w:rsidR="002121E5" w:rsidRDefault="00E86E1A" w:rsidP="00E86E1A">
      <w:pPr>
        <w:pStyle w:val="ListParagraph"/>
        <w:numPr>
          <w:ilvl w:val="0"/>
          <w:numId w:val="24"/>
        </w:numPr>
      </w:pPr>
      <w:r w:rsidRPr="00E86E1A">
        <w:t xml:space="preserve">Discuss medication treatment options, taking into consideration what may have worked for </w:t>
      </w:r>
      <w:proofErr w:type="gramStart"/>
      <w:r w:rsidRPr="00E86E1A">
        <w:t>patient</w:t>
      </w:r>
      <w:proofErr w:type="gramEnd"/>
      <w:r w:rsidRPr="00E86E1A">
        <w:t xml:space="preserve"> in the past</w:t>
      </w:r>
    </w:p>
    <w:p w14:paraId="3EFCABE4" w14:textId="77777777" w:rsidR="002121E5" w:rsidRDefault="00E86E1A" w:rsidP="00E86E1A">
      <w:pPr>
        <w:pStyle w:val="ListParagraph"/>
        <w:numPr>
          <w:ilvl w:val="0"/>
          <w:numId w:val="24"/>
        </w:numPr>
      </w:pPr>
      <w:r w:rsidRPr="00E86E1A">
        <w:t>Decide on in-office or home initiation of buprenorphine based on timing of patient’s last use of opioids, ability to follow instructions, and severity of opioid withdrawal (wait 8-12 hours after last use of short-acting opioid including heroin; need longer for fentanyl)</w:t>
      </w:r>
    </w:p>
    <w:p w14:paraId="3208BCD4" w14:textId="6C922E07" w:rsidR="00E86E1A" w:rsidRDefault="00E86E1A" w:rsidP="00E86E1A">
      <w:pPr>
        <w:pStyle w:val="ListParagraph"/>
        <w:numPr>
          <w:ilvl w:val="0"/>
          <w:numId w:val="24"/>
        </w:numPr>
      </w:pPr>
      <w:r w:rsidRPr="00E86E1A">
        <w:t>Consider using a patient-provider buprenorphine treatment agreement to outline how you will handle lost/stolen meds or scripts, unexpected drug test results or PDMP data, requests for early refills, and any identified diversion of the medication</w:t>
      </w:r>
    </w:p>
    <w:p w14:paraId="0BB30EEE" w14:textId="42CD14D6" w:rsidR="002121E5" w:rsidRDefault="002121E5" w:rsidP="002121E5">
      <w:pPr>
        <w:pStyle w:val="Heading2"/>
        <w:rPr>
          <w:color w:val="auto"/>
        </w:rPr>
      </w:pPr>
      <w:r>
        <w:rPr>
          <w:color w:val="auto"/>
        </w:rPr>
        <w:t>Follow Up Visits</w:t>
      </w:r>
    </w:p>
    <w:p w14:paraId="1D23A7DD" w14:textId="77777777" w:rsidR="002121E5" w:rsidRDefault="002121E5" w:rsidP="002121E5">
      <w:pPr>
        <w:pStyle w:val="ListParagraph"/>
        <w:numPr>
          <w:ilvl w:val="0"/>
          <w:numId w:val="25"/>
        </w:numPr>
      </w:pPr>
      <w:r w:rsidRPr="002121E5">
        <w:t>Assess response to buprenorphine (cravings, other opioid use, withdrawal symptoms)</w:t>
      </w:r>
    </w:p>
    <w:p w14:paraId="3FA2D130" w14:textId="77777777" w:rsidR="002121E5" w:rsidRDefault="002121E5" w:rsidP="002121E5">
      <w:pPr>
        <w:pStyle w:val="ListParagraph"/>
        <w:numPr>
          <w:ilvl w:val="0"/>
          <w:numId w:val="25"/>
        </w:numPr>
      </w:pPr>
      <w:r w:rsidRPr="002121E5">
        <w:lastRenderedPageBreak/>
        <w:t>Adjust buprenorphine dose as needed to dose where no opioid withdrawal symptoms or cravings occur between doses and other opioid use is significantly reduced or ceases</w:t>
      </w:r>
    </w:p>
    <w:p w14:paraId="42F954BE" w14:textId="77777777" w:rsidR="002121E5" w:rsidRDefault="002121E5" w:rsidP="002121E5">
      <w:pPr>
        <w:pStyle w:val="ListParagraph"/>
        <w:numPr>
          <w:ilvl w:val="0"/>
          <w:numId w:val="25"/>
        </w:numPr>
      </w:pPr>
      <w:r w:rsidRPr="002121E5">
        <w:t>Ask about other substance use/address other SUDs • Refer patient for other psychiatric or social services needs</w:t>
      </w:r>
    </w:p>
    <w:p w14:paraId="176590A9" w14:textId="77777777" w:rsidR="002121E5" w:rsidRDefault="002121E5" w:rsidP="002121E5">
      <w:pPr>
        <w:pStyle w:val="ListParagraph"/>
        <w:numPr>
          <w:ilvl w:val="0"/>
          <w:numId w:val="25"/>
        </w:numPr>
      </w:pPr>
      <w:r w:rsidRPr="002121E5">
        <w:t>Regularly check the PDMP</w:t>
      </w:r>
    </w:p>
    <w:p w14:paraId="718A03B6" w14:textId="77777777" w:rsidR="002121E5" w:rsidRDefault="002121E5" w:rsidP="002121E5">
      <w:pPr>
        <w:pStyle w:val="ListParagraph"/>
        <w:numPr>
          <w:ilvl w:val="0"/>
          <w:numId w:val="25"/>
        </w:numPr>
      </w:pPr>
      <w:r w:rsidRPr="002121E5">
        <w:t>Regularly perform a drug test, checking for commonly used substances and buprenorphine and metabolite (norbuprenorphine)</w:t>
      </w:r>
    </w:p>
    <w:p w14:paraId="6B83FFC8" w14:textId="2D49568C" w:rsidR="002121E5" w:rsidRDefault="002121E5" w:rsidP="002121E5">
      <w:pPr>
        <w:pStyle w:val="ListParagraph"/>
        <w:numPr>
          <w:ilvl w:val="0"/>
          <w:numId w:val="25"/>
        </w:numPr>
      </w:pPr>
      <w:r w:rsidRPr="002121E5">
        <w:t>If the patient’s OUD does not stabilize with buprenorphine 24mg once daily and/or other SUDs persist, consider referral to specialty addiction treatment such as an Opioid Treatment Program</w:t>
      </w:r>
    </w:p>
    <w:p w14:paraId="3695A86F" w14:textId="1B226AAB" w:rsidR="002121E5" w:rsidRDefault="002121E5" w:rsidP="002121E5">
      <w:pPr>
        <w:pStyle w:val="Heading2"/>
        <w:rPr>
          <w:color w:val="auto"/>
        </w:rPr>
      </w:pPr>
      <w:r w:rsidRPr="002121E5">
        <w:rPr>
          <w:color w:val="auto"/>
        </w:rPr>
        <w:t>Considerations</w:t>
      </w:r>
    </w:p>
    <w:p w14:paraId="2F1DA85B" w14:textId="77777777" w:rsidR="002121E5" w:rsidRDefault="002121E5" w:rsidP="002121E5">
      <w:pPr>
        <w:pStyle w:val="ListParagraph"/>
        <w:numPr>
          <w:ilvl w:val="0"/>
          <w:numId w:val="26"/>
        </w:numPr>
      </w:pPr>
      <w:r w:rsidRPr="002121E5">
        <w:t>Formulation and maximum daily dose coverage may vary by payer</w:t>
      </w:r>
    </w:p>
    <w:p w14:paraId="352CAE1F" w14:textId="77777777" w:rsidR="002121E5" w:rsidRDefault="002121E5" w:rsidP="002121E5">
      <w:pPr>
        <w:pStyle w:val="ListParagraph"/>
        <w:numPr>
          <w:ilvl w:val="0"/>
          <w:numId w:val="26"/>
        </w:numPr>
      </w:pPr>
      <w:r w:rsidRPr="002121E5">
        <w:t>See the patient more frequently at the beginning of treatment with buprenorphine and if the patient becomes unstable</w:t>
      </w:r>
    </w:p>
    <w:p w14:paraId="1115DAD7" w14:textId="77777777" w:rsidR="002121E5" w:rsidRDefault="002121E5" w:rsidP="002121E5">
      <w:pPr>
        <w:pStyle w:val="ListParagraph"/>
        <w:numPr>
          <w:ilvl w:val="0"/>
          <w:numId w:val="26"/>
        </w:numPr>
      </w:pPr>
      <w:r w:rsidRPr="002121E5">
        <w:t>Prescribe only what the patient will need to take between visits</w:t>
      </w:r>
    </w:p>
    <w:p w14:paraId="4890A928" w14:textId="77777777" w:rsidR="002121E5" w:rsidRDefault="002121E5" w:rsidP="002121E5">
      <w:pPr>
        <w:pStyle w:val="ListParagraph"/>
        <w:numPr>
          <w:ilvl w:val="0"/>
          <w:numId w:val="26"/>
        </w:numPr>
      </w:pPr>
      <w:r w:rsidRPr="002121E5">
        <w:t>Switching from methadone to buprenorphine can be complex and should be done by an addiction treatment experienced practitioner</w:t>
      </w:r>
    </w:p>
    <w:p w14:paraId="76134FF5" w14:textId="6FF5ECF7" w:rsidR="002121E5" w:rsidRDefault="002121E5" w:rsidP="002121E5">
      <w:pPr>
        <w:pStyle w:val="ListParagraph"/>
        <w:numPr>
          <w:ilvl w:val="0"/>
          <w:numId w:val="26"/>
        </w:numPr>
      </w:pPr>
      <w:r w:rsidRPr="002121E5">
        <w:t>Addressing medication misuse or diversion:</w:t>
      </w:r>
    </w:p>
    <w:p w14:paraId="39B83719" w14:textId="77777777" w:rsidR="002121E5" w:rsidRDefault="002121E5" w:rsidP="002121E5">
      <w:pPr>
        <w:pStyle w:val="ListParagraph"/>
        <w:numPr>
          <w:ilvl w:val="1"/>
          <w:numId w:val="26"/>
        </w:numPr>
      </w:pPr>
      <w:r w:rsidRPr="002121E5">
        <w:t>This does not mean an automatic discharge from the practice</w:t>
      </w:r>
    </w:p>
    <w:p w14:paraId="7F5F1F05" w14:textId="77777777" w:rsidR="002121E5" w:rsidRDefault="002121E5" w:rsidP="002121E5">
      <w:pPr>
        <w:pStyle w:val="ListParagraph"/>
        <w:numPr>
          <w:ilvl w:val="1"/>
          <w:numId w:val="26"/>
        </w:numPr>
      </w:pPr>
      <w:r w:rsidRPr="002121E5">
        <w:t xml:space="preserve">Talk to the patient </w:t>
      </w:r>
    </w:p>
    <w:p w14:paraId="3DCFA829" w14:textId="77777777" w:rsidR="002121E5" w:rsidRDefault="002121E5" w:rsidP="002121E5">
      <w:pPr>
        <w:pStyle w:val="ListParagraph"/>
        <w:numPr>
          <w:ilvl w:val="1"/>
          <w:numId w:val="26"/>
        </w:numPr>
      </w:pPr>
      <w:r w:rsidRPr="002121E5">
        <w:t>Document and describe the misuse/diversion incident and the response with clinical rationale</w:t>
      </w:r>
    </w:p>
    <w:p w14:paraId="17E4D3A3" w14:textId="382E079D" w:rsidR="002121E5" w:rsidRDefault="002121E5" w:rsidP="002121E5">
      <w:pPr>
        <w:pStyle w:val="ListParagraph"/>
        <w:numPr>
          <w:ilvl w:val="1"/>
          <w:numId w:val="26"/>
        </w:numPr>
      </w:pPr>
      <w:r w:rsidRPr="002121E5">
        <w:t>Strongly consider</w:t>
      </w:r>
      <w:r w:rsidR="00945092">
        <w:t>:</w:t>
      </w:r>
    </w:p>
    <w:p w14:paraId="360D4CBA" w14:textId="77777777" w:rsidR="00945092" w:rsidRDefault="00945092" w:rsidP="00945092">
      <w:pPr>
        <w:pStyle w:val="ListParagraph"/>
        <w:numPr>
          <w:ilvl w:val="2"/>
          <w:numId w:val="26"/>
        </w:numPr>
      </w:pPr>
      <w:r w:rsidRPr="00945092">
        <w:t>Smaller supplies of medication</w:t>
      </w:r>
    </w:p>
    <w:p w14:paraId="68CB90F6" w14:textId="77777777" w:rsidR="00945092" w:rsidRDefault="00945092" w:rsidP="00945092">
      <w:pPr>
        <w:pStyle w:val="ListParagraph"/>
        <w:numPr>
          <w:ilvl w:val="2"/>
          <w:numId w:val="26"/>
        </w:numPr>
      </w:pPr>
      <w:r w:rsidRPr="00945092">
        <w:t>More frequent appointments</w:t>
      </w:r>
    </w:p>
    <w:p w14:paraId="0FD6DAF3" w14:textId="77777777" w:rsidR="00945092" w:rsidRDefault="00945092" w:rsidP="00945092">
      <w:pPr>
        <w:pStyle w:val="ListParagraph"/>
        <w:numPr>
          <w:ilvl w:val="2"/>
          <w:numId w:val="26"/>
        </w:numPr>
      </w:pPr>
      <w:r w:rsidRPr="00945092">
        <w:t>Random pill/film counts</w:t>
      </w:r>
    </w:p>
    <w:p w14:paraId="17FCC93B" w14:textId="77777777" w:rsidR="00945092" w:rsidRDefault="00945092" w:rsidP="00945092">
      <w:pPr>
        <w:pStyle w:val="ListParagraph"/>
        <w:numPr>
          <w:ilvl w:val="2"/>
          <w:numId w:val="26"/>
        </w:numPr>
      </w:pPr>
      <w:r w:rsidRPr="00945092">
        <w:t>Requirement to return used film packages</w:t>
      </w:r>
    </w:p>
    <w:p w14:paraId="580B6EE6" w14:textId="77777777" w:rsidR="00945092" w:rsidRDefault="00945092" w:rsidP="00945092">
      <w:pPr>
        <w:pStyle w:val="ListParagraph"/>
        <w:numPr>
          <w:ilvl w:val="2"/>
          <w:numId w:val="26"/>
        </w:numPr>
      </w:pPr>
      <w:r w:rsidRPr="00945092">
        <w:t>Supervised dosing (in-office, with the help of a responsible community support person or referral to an OTP)</w:t>
      </w:r>
    </w:p>
    <w:p w14:paraId="2C449572" w14:textId="6D470158" w:rsidR="00945092" w:rsidRDefault="00945092" w:rsidP="00945092">
      <w:pPr>
        <w:pStyle w:val="ListParagraph"/>
        <w:numPr>
          <w:ilvl w:val="2"/>
          <w:numId w:val="26"/>
        </w:numPr>
      </w:pPr>
      <w:r w:rsidRPr="00945092">
        <w:t>Long-acting injectable buprenorphine</w:t>
      </w:r>
    </w:p>
    <w:p w14:paraId="1B1C2617" w14:textId="548C0B06" w:rsidR="00801470" w:rsidRDefault="00801470" w:rsidP="00801470">
      <w:pPr>
        <w:pStyle w:val="Heading2"/>
        <w:rPr>
          <w:color w:val="auto"/>
        </w:rPr>
      </w:pPr>
      <w:r>
        <w:rPr>
          <w:color w:val="auto"/>
        </w:rPr>
        <w:t>Recommended Services</w:t>
      </w:r>
    </w:p>
    <w:p w14:paraId="4D5F71AA" w14:textId="77777777" w:rsidR="00801470" w:rsidRDefault="00801470" w:rsidP="00801470">
      <w:pPr>
        <w:pStyle w:val="ListParagraph"/>
        <w:numPr>
          <w:ilvl w:val="0"/>
          <w:numId w:val="27"/>
        </w:numPr>
      </w:pPr>
      <w:r w:rsidRPr="00801470">
        <w:t>Individualize psychosocial supports to the patient’s needs</w:t>
      </w:r>
    </w:p>
    <w:p w14:paraId="7415FAB1" w14:textId="7825634D" w:rsidR="00801470" w:rsidRDefault="00801470" w:rsidP="00801470">
      <w:pPr>
        <w:pStyle w:val="ListParagraph"/>
        <w:numPr>
          <w:ilvl w:val="0"/>
          <w:numId w:val="27"/>
        </w:numPr>
      </w:pPr>
      <w:r w:rsidRPr="00801470">
        <w:t>Provide naloxone and harm reduction education</w:t>
      </w:r>
    </w:p>
    <w:p w14:paraId="2ED292D7" w14:textId="4117BCCA" w:rsidR="00801470" w:rsidRDefault="00801470" w:rsidP="00801470">
      <w:pPr>
        <w:pStyle w:val="Heading2"/>
        <w:rPr>
          <w:color w:val="auto"/>
        </w:rPr>
      </w:pPr>
      <w:r>
        <w:rPr>
          <w:color w:val="auto"/>
        </w:rPr>
        <w:lastRenderedPageBreak/>
        <w:t>Side Effects and Precautions</w:t>
      </w:r>
    </w:p>
    <w:p w14:paraId="42F6BBD7" w14:textId="51FC6214" w:rsidR="00801470" w:rsidRDefault="00796F66" w:rsidP="00796F66">
      <w:pPr>
        <w:pStyle w:val="ListParagraph"/>
        <w:numPr>
          <w:ilvl w:val="0"/>
          <w:numId w:val="28"/>
        </w:numPr>
      </w:pPr>
      <w:r w:rsidRPr="00796F66">
        <w:t>Possible side effects include: sedation, headache, oral numbness, tongue pain, oral mucosal erythema, nausea/vomiting, constipation, disturbance in attention, palpitations, sweating</w:t>
      </w:r>
    </w:p>
    <w:p w14:paraId="5168AA07" w14:textId="2AC39101" w:rsidR="00796F66" w:rsidRDefault="00796F66" w:rsidP="00796F66">
      <w:pPr>
        <w:pStyle w:val="ListParagraph"/>
        <w:numPr>
          <w:ilvl w:val="0"/>
          <w:numId w:val="28"/>
        </w:numPr>
      </w:pPr>
      <w:r w:rsidRPr="00796F66">
        <w:t xml:space="preserve">Overdoses in opioid-tolerant adults </w:t>
      </w:r>
      <w:proofErr w:type="gramStart"/>
      <w:r w:rsidRPr="00796F66">
        <w:t>is</w:t>
      </w:r>
      <w:proofErr w:type="gramEnd"/>
      <w:r w:rsidRPr="00796F66">
        <w:t xml:space="preserve"> rare but can happen in children, pets, or others without opioid tolerance. Use of alcohol or benzodiazepines can also increase the risk.</w:t>
      </w:r>
    </w:p>
    <w:p w14:paraId="7451324E" w14:textId="4F7480D1" w:rsidR="00796F66" w:rsidRDefault="00796F66" w:rsidP="00796F66">
      <w:pPr>
        <w:pStyle w:val="ListParagraph"/>
        <w:numPr>
          <w:ilvl w:val="0"/>
          <w:numId w:val="28"/>
        </w:numPr>
      </w:pPr>
      <w:r w:rsidRPr="00796F66">
        <w:t>Precipitated withdrawal can occur if buprenorphine is started too soon after patients last use of a full opioid agonist; waiting sufficient time after last use and starting with small doses will reduce the risk</w:t>
      </w:r>
    </w:p>
    <w:p w14:paraId="2F59462A" w14:textId="73A15674" w:rsidR="00796F66" w:rsidRDefault="00796F66" w:rsidP="00796F66">
      <w:pPr>
        <w:pStyle w:val="Heading2"/>
        <w:rPr>
          <w:color w:val="auto"/>
        </w:rPr>
      </w:pPr>
      <w:r>
        <w:rPr>
          <w:color w:val="auto"/>
        </w:rPr>
        <w:t>Patient Education</w:t>
      </w:r>
    </w:p>
    <w:p w14:paraId="4BEA5F23" w14:textId="77777777" w:rsidR="00796F66" w:rsidRDefault="00796F66" w:rsidP="00796F66">
      <w:pPr>
        <w:pStyle w:val="ListParagraph"/>
        <w:numPr>
          <w:ilvl w:val="0"/>
          <w:numId w:val="29"/>
        </w:numPr>
      </w:pPr>
      <w:r w:rsidRPr="00796F66">
        <w:t xml:space="preserve">Remind </w:t>
      </w:r>
      <w:proofErr w:type="gramStart"/>
      <w:r w:rsidRPr="00796F66">
        <w:t>patient</w:t>
      </w:r>
      <w:proofErr w:type="gramEnd"/>
      <w:r w:rsidRPr="00796F66">
        <w:t xml:space="preserve"> not to abruptly stop buprenorphine as withdrawal may occur and risk of overdose increase with return to other opioid use</w:t>
      </w:r>
    </w:p>
    <w:p w14:paraId="0373546A" w14:textId="0A736D86" w:rsidR="00796F66" w:rsidRPr="00796F66" w:rsidRDefault="00796F66" w:rsidP="00796F66">
      <w:pPr>
        <w:pStyle w:val="ListParagraph"/>
        <w:numPr>
          <w:ilvl w:val="0"/>
          <w:numId w:val="29"/>
        </w:numPr>
      </w:pPr>
      <w:r w:rsidRPr="00796F66">
        <w:t xml:space="preserve">Medication </w:t>
      </w:r>
      <w:r>
        <w:t>s</w:t>
      </w:r>
      <w:r w:rsidRPr="00796F66">
        <w:t xml:space="preserve">torage </w:t>
      </w:r>
      <w:r>
        <w:t>r</w:t>
      </w:r>
      <w:r w:rsidRPr="00796F66">
        <w:t>ecommendations: Instruct patients to keep the medication securely stored in a cool, dry place (not the refrigerator) away from children and pets</w:t>
      </w:r>
    </w:p>
    <w:p w14:paraId="0485A8A7" w14:textId="638311BF" w:rsidR="007C32CC" w:rsidRPr="000755A2" w:rsidRDefault="007C32CC" w:rsidP="007C32CC">
      <w:pPr>
        <w:pStyle w:val="Heading2"/>
        <w:jc w:val="center"/>
        <w:rPr>
          <w:color w:val="auto"/>
        </w:rPr>
      </w:pPr>
      <w:r w:rsidRPr="000755A2">
        <w:rPr>
          <w:color w:val="auto"/>
        </w:rPr>
        <w:t xml:space="preserve">1-855-337-MACS (6227) | </w:t>
      </w:r>
      <w:hyperlink r:id="rId5" w:history="1">
        <w:r w:rsidRPr="000755A2">
          <w:rPr>
            <w:rStyle w:val="Hyperlink"/>
            <w:color w:val="auto"/>
          </w:rPr>
          <w:t>www.marylandmacs.org</w:t>
        </w:r>
      </w:hyperlink>
      <w:r w:rsidRPr="000755A2">
        <w:rPr>
          <w:color w:val="auto"/>
        </w:rPr>
        <w:t xml:space="preserve"> | macs@som.umaryland.edu</w:t>
      </w:r>
    </w:p>
    <w:sectPr w:rsidR="007C32CC" w:rsidRPr="00075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503"/>
    <w:multiLevelType w:val="hybridMultilevel"/>
    <w:tmpl w:val="D36EA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B0BB9"/>
    <w:multiLevelType w:val="hybridMultilevel"/>
    <w:tmpl w:val="C7C43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4534"/>
    <w:multiLevelType w:val="hybridMultilevel"/>
    <w:tmpl w:val="21D8D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129"/>
    <w:multiLevelType w:val="hybridMultilevel"/>
    <w:tmpl w:val="C82E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D228D"/>
    <w:multiLevelType w:val="hybridMultilevel"/>
    <w:tmpl w:val="5B02F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17EDF"/>
    <w:multiLevelType w:val="hybridMultilevel"/>
    <w:tmpl w:val="F3C2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B38B3"/>
    <w:multiLevelType w:val="hybridMultilevel"/>
    <w:tmpl w:val="2A6A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E507B"/>
    <w:multiLevelType w:val="hybridMultilevel"/>
    <w:tmpl w:val="7F26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B457A"/>
    <w:multiLevelType w:val="hybridMultilevel"/>
    <w:tmpl w:val="1DCE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C535A"/>
    <w:multiLevelType w:val="hybridMultilevel"/>
    <w:tmpl w:val="C62C2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11D63"/>
    <w:multiLevelType w:val="hybridMultilevel"/>
    <w:tmpl w:val="1CB2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00A1B"/>
    <w:multiLevelType w:val="hybridMultilevel"/>
    <w:tmpl w:val="D33C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F02CD"/>
    <w:multiLevelType w:val="hybridMultilevel"/>
    <w:tmpl w:val="39DA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24249"/>
    <w:multiLevelType w:val="hybridMultilevel"/>
    <w:tmpl w:val="47BE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17EDB"/>
    <w:multiLevelType w:val="hybridMultilevel"/>
    <w:tmpl w:val="C92E6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E25B4"/>
    <w:multiLevelType w:val="hybridMultilevel"/>
    <w:tmpl w:val="396E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2459A"/>
    <w:multiLevelType w:val="hybridMultilevel"/>
    <w:tmpl w:val="A8E6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80079"/>
    <w:multiLevelType w:val="hybridMultilevel"/>
    <w:tmpl w:val="BE845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F3226"/>
    <w:multiLevelType w:val="hybridMultilevel"/>
    <w:tmpl w:val="964C7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E4CC3"/>
    <w:multiLevelType w:val="hybridMultilevel"/>
    <w:tmpl w:val="14CC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27653"/>
    <w:multiLevelType w:val="hybridMultilevel"/>
    <w:tmpl w:val="65D64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6508D"/>
    <w:multiLevelType w:val="hybridMultilevel"/>
    <w:tmpl w:val="F2D8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80FC3"/>
    <w:multiLevelType w:val="hybridMultilevel"/>
    <w:tmpl w:val="9E7A4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F144A"/>
    <w:multiLevelType w:val="hybridMultilevel"/>
    <w:tmpl w:val="3C70E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507D1"/>
    <w:multiLevelType w:val="hybridMultilevel"/>
    <w:tmpl w:val="2C20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A5477"/>
    <w:multiLevelType w:val="hybridMultilevel"/>
    <w:tmpl w:val="3C40E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E69E0"/>
    <w:multiLevelType w:val="hybridMultilevel"/>
    <w:tmpl w:val="E994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E4DC6"/>
    <w:multiLevelType w:val="hybridMultilevel"/>
    <w:tmpl w:val="D78C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E345D"/>
    <w:multiLevelType w:val="hybridMultilevel"/>
    <w:tmpl w:val="419A0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461987">
    <w:abstractNumId w:val="25"/>
  </w:num>
  <w:num w:numId="2" w16cid:durableId="481387728">
    <w:abstractNumId w:val="18"/>
  </w:num>
  <w:num w:numId="3" w16cid:durableId="1683622399">
    <w:abstractNumId w:val="15"/>
  </w:num>
  <w:num w:numId="4" w16cid:durableId="388695365">
    <w:abstractNumId w:val="21"/>
  </w:num>
  <w:num w:numId="5" w16cid:durableId="516386396">
    <w:abstractNumId w:val="2"/>
  </w:num>
  <w:num w:numId="6" w16cid:durableId="669068069">
    <w:abstractNumId w:val="22"/>
  </w:num>
  <w:num w:numId="7" w16cid:durableId="2139954297">
    <w:abstractNumId w:val="5"/>
  </w:num>
  <w:num w:numId="8" w16cid:durableId="442577164">
    <w:abstractNumId w:val="20"/>
  </w:num>
  <w:num w:numId="9" w16cid:durableId="1344672803">
    <w:abstractNumId w:val="12"/>
  </w:num>
  <w:num w:numId="10" w16cid:durableId="1418868512">
    <w:abstractNumId w:val="3"/>
  </w:num>
  <w:num w:numId="11" w16cid:durableId="651368239">
    <w:abstractNumId w:val="10"/>
  </w:num>
  <w:num w:numId="12" w16cid:durableId="1922980085">
    <w:abstractNumId w:val="24"/>
  </w:num>
  <w:num w:numId="13" w16cid:durableId="722102068">
    <w:abstractNumId w:val="6"/>
  </w:num>
  <w:num w:numId="14" w16cid:durableId="1126242287">
    <w:abstractNumId w:val="17"/>
  </w:num>
  <w:num w:numId="15" w16cid:durableId="1777821078">
    <w:abstractNumId w:val="0"/>
  </w:num>
  <w:num w:numId="16" w16cid:durableId="1401781956">
    <w:abstractNumId w:val="26"/>
  </w:num>
  <w:num w:numId="17" w16cid:durableId="2043554973">
    <w:abstractNumId w:val="13"/>
  </w:num>
  <w:num w:numId="18" w16cid:durableId="1963726018">
    <w:abstractNumId w:val="28"/>
  </w:num>
  <w:num w:numId="19" w16cid:durableId="1749108511">
    <w:abstractNumId w:val="16"/>
  </w:num>
  <w:num w:numId="20" w16cid:durableId="2093621529">
    <w:abstractNumId w:val="1"/>
  </w:num>
  <w:num w:numId="21" w16cid:durableId="14692880">
    <w:abstractNumId w:val="19"/>
  </w:num>
  <w:num w:numId="22" w16cid:durableId="1465201170">
    <w:abstractNumId w:val="14"/>
  </w:num>
  <w:num w:numId="23" w16cid:durableId="1574241967">
    <w:abstractNumId w:val="8"/>
  </w:num>
  <w:num w:numId="24" w16cid:durableId="1231119480">
    <w:abstractNumId w:val="7"/>
  </w:num>
  <w:num w:numId="25" w16cid:durableId="1340767283">
    <w:abstractNumId w:val="27"/>
  </w:num>
  <w:num w:numId="26" w16cid:durableId="970985866">
    <w:abstractNumId w:val="4"/>
  </w:num>
  <w:num w:numId="27" w16cid:durableId="587662935">
    <w:abstractNumId w:val="23"/>
  </w:num>
  <w:num w:numId="28" w16cid:durableId="622735827">
    <w:abstractNumId w:val="11"/>
  </w:num>
  <w:num w:numId="29" w16cid:durableId="14030203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43"/>
    <w:rsid w:val="00072364"/>
    <w:rsid w:val="000755A2"/>
    <w:rsid w:val="00083601"/>
    <w:rsid w:val="00093A5D"/>
    <w:rsid w:val="000F0292"/>
    <w:rsid w:val="00104202"/>
    <w:rsid w:val="00144E8D"/>
    <w:rsid w:val="001F1741"/>
    <w:rsid w:val="002121E5"/>
    <w:rsid w:val="00212AC4"/>
    <w:rsid w:val="002533E2"/>
    <w:rsid w:val="00261428"/>
    <w:rsid w:val="002B0C9F"/>
    <w:rsid w:val="002D0115"/>
    <w:rsid w:val="002F1546"/>
    <w:rsid w:val="00352C75"/>
    <w:rsid w:val="00357E8F"/>
    <w:rsid w:val="003D35D3"/>
    <w:rsid w:val="003E0880"/>
    <w:rsid w:val="00472650"/>
    <w:rsid w:val="00484DE6"/>
    <w:rsid w:val="004A180B"/>
    <w:rsid w:val="004C6D39"/>
    <w:rsid w:val="004F0FF6"/>
    <w:rsid w:val="005139C4"/>
    <w:rsid w:val="00550144"/>
    <w:rsid w:val="00591982"/>
    <w:rsid w:val="005B3E33"/>
    <w:rsid w:val="005E0BAB"/>
    <w:rsid w:val="006E138C"/>
    <w:rsid w:val="00712425"/>
    <w:rsid w:val="00742543"/>
    <w:rsid w:val="00746C6C"/>
    <w:rsid w:val="00764998"/>
    <w:rsid w:val="00791861"/>
    <w:rsid w:val="007919FC"/>
    <w:rsid w:val="00796F66"/>
    <w:rsid w:val="007C32CC"/>
    <w:rsid w:val="00801470"/>
    <w:rsid w:val="008468AE"/>
    <w:rsid w:val="008B03C1"/>
    <w:rsid w:val="008D354D"/>
    <w:rsid w:val="00945092"/>
    <w:rsid w:val="009B45C2"/>
    <w:rsid w:val="009D43B2"/>
    <w:rsid w:val="009F093A"/>
    <w:rsid w:val="009F747F"/>
    <w:rsid w:val="00A31EB0"/>
    <w:rsid w:val="00AE3017"/>
    <w:rsid w:val="00D0289C"/>
    <w:rsid w:val="00D060FE"/>
    <w:rsid w:val="00D20ED6"/>
    <w:rsid w:val="00D61C9C"/>
    <w:rsid w:val="00D63751"/>
    <w:rsid w:val="00D71FD2"/>
    <w:rsid w:val="00DA30C2"/>
    <w:rsid w:val="00DC4570"/>
    <w:rsid w:val="00E21E67"/>
    <w:rsid w:val="00E41AD8"/>
    <w:rsid w:val="00E86E1A"/>
    <w:rsid w:val="00ED16DA"/>
    <w:rsid w:val="00EF0889"/>
    <w:rsid w:val="00F450E8"/>
    <w:rsid w:val="00FC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13004"/>
  <w15:chartTrackingRefBased/>
  <w15:docId w15:val="{DEB4A177-2C5A-4360-84B8-D30D2837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2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5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55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5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1A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rylandmac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576</Words>
  <Characters>3670</Characters>
  <Application>Microsoft Office Word</Application>
  <DocSecurity>0</DocSecurity>
  <Lines>67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Rehfield, Carson</dc:creator>
  <cp:keywords/>
  <dc:description/>
  <cp:lastModifiedBy>Rehfield, Carson</cp:lastModifiedBy>
  <cp:revision>2</cp:revision>
  <dcterms:created xsi:type="dcterms:W3CDTF">2026-04-09T15:23:00Z</dcterms:created>
  <dcterms:modified xsi:type="dcterms:W3CDTF">2026-04-09T15:23:00Z</dcterms:modified>
</cp:coreProperties>
</file>